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8EB0" w14:textId="77777777" w:rsidR="009B7EDA" w:rsidRPr="00A65A11" w:rsidRDefault="009B7EDA" w:rsidP="009B7EDA">
      <w:pPr>
        <w:spacing w:line="480" w:lineRule="auto"/>
        <w:jc w:val="center"/>
        <w:rPr>
          <w:rFonts w:cstheme="minorHAnsi"/>
          <w:b/>
          <w:bCs/>
          <w:sz w:val="22"/>
          <w:szCs w:val="22"/>
        </w:rPr>
      </w:pPr>
      <w:r w:rsidRPr="00A65A11">
        <w:rPr>
          <w:rFonts w:cstheme="minorHAnsi"/>
          <w:b/>
          <w:bCs/>
          <w:sz w:val="22"/>
          <w:szCs w:val="22"/>
        </w:rPr>
        <w:t>References</w:t>
      </w:r>
    </w:p>
    <w:p w14:paraId="09CDB6FB" w14:textId="77777777" w:rsidR="009B7EDA" w:rsidRPr="00A65A11" w:rsidRDefault="009B7EDA" w:rsidP="009B7EDA">
      <w:pPr>
        <w:pStyle w:val="Bibliography"/>
        <w:spacing w:line="480" w:lineRule="auto"/>
        <w:ind w:hanging="720"/>
        <w:rPr>
          <w:rFonts w:cstheme="minorHAnsi"/>
        </w:rPr>
      </w:pPr>
      <w:r w:rsidRPr="00A65A11">
        <w:rPr>
          <w:rFonts w:cstheme="minorHAnsi"/>
        </w:rPr>
        <w:t xml:space="preserve">Beaumont, C., O'Doherty, M., &amp; Shannon, L. (2011). Reconceptualising assessment feedback: a key to improving student learning? </w:t>
      </w:r>
      <w:r w:rsidRPr="00A65A11">
        <w:rPr>
          <w:rFonts w:cstheme="minorHAnsi"/>
          <w:i/>
          <w:iCs/>
        </w:rPr>
        <w:t>Studies in Higher Education</w:t>
      </w:r>
      <w:r w:rsidRPr="00A65A11">
        <w:rPr>
          <w:rFonts w:cstheme="minorHAnsi"/>
        </w:rPr>
        <w:t xml:space="preserve">, 36(6), 671–687. </w:t>
      </w:r>
      <w:hyperlink r:id="rId4" w:history="1">
        <w:r w:rsidRPr="009F7401">
          <w:rPr>
            <w:rStyle w:val="Hyperlink"/>
            <w:rFonts w:cstheme="minorHAnsi"/>
            <w:color w:val="auto"/>
          </w:rPr>
          <w:t>https://doi.org/10.1080/03075071003731135</w:t>
        </w:r>
      </w:hyperlink>
    </w:p>
    <w:p w14:paraId="4E40B14F" w14:textId="77777777" w:rsidR="009B7EDA" w:rsidRPr="00A65A11" w:rsidRDefault="009B7EDA" w:rsidP="009B7EDA">
      <w:pPr>
        <w:pStyle w:val="Bibliography"/>
        <w:spacing w:line="480" w:lineRule="auto"/>
        <w:ind w:hanging="720"/>
        <w:rPr>
          <w:rFonts w:cstheme="minorHAnsi"/>
          <w:color w:val="000000"/>
        </w:rPr>
      </w:pPr>
      <w:r w:rsidRPr="00A65A11">
        <w:rPr>
          <w:rFonts w:cstheme="minorHAnsi"/>
          <w:color w:val="000000"/>
        </w:rPr>
        <w:t>Black, P., &amp; Wiliam, D. (1998). Assessment and classroom learning. </w:t>
      </w:r>
      <w:r w:rsidRPr="00A65A11">
        <w:rPr>
          <w:rStyle w:val="Emphasis"/>
          <w:rFonts w:cstheme="minorHAnsi"/>
          <w:color w:val="000000"/>
        </w:rPr>
        <w:t>Assessment in Education: Principles, Policy &amp; Practice</w:t>
      </w:r>
      <w:r w:rsidRPr="00A65A11">
        <w:rPr>
          <w:rFonts w:cstheme="minorHAnsi"/>
          <w:color w:val="000000"/>
        </w:rPr>
        <w:t>, </w:t>
      </w:r>
      <w:r w:rsidRPr="00A65A11">
        <w:rPr>
          <w:rStyle w:val="Emphasis"/>
          <w:rFonts w:cstheme="minorHAnsi"/>
          <w:color w:val="000000"/>
        </w:rPr>
        <w:t>5</w:t>
      </w:r>
      <w:r w:rsidRPr="00A65A11">
        <w:rPr>
          <w:rFonts w:cstheme="minorHAnsi"/>
          <w:color w:val="000000"/>
        </w:rPr>
        <w:t>(1), 7-74. </w:t>
      </w:r>
      <w:hyperlink r:id="rId5" w:history="1">
        <w:r w:rsidRPr="00A65A11">
          <w:rPr>
            <w:rStyle w:val="Hyperlink"/>
            <w:rFonts w:cstheme="minorHAnsi"/>
            <w:color w:val="000000"/>
          </w:rPr>
          <w:t>https://doi.org/10.1080/0969595980050102</w:t>
        </w:r>
      </w:hyperlink>
    </w:p>
    <w:p w14:paraId="22DF0F60" w14:textId="77777777" w:rsidR="009B7EDA" w:rsidRPr="00A65A11" w:rsidRDefault="009B7EDA" w:rsidP="009B7EDA">
      <w:pPr>
        <w:pStyle w:val="Bibliography"/>
        <w:spacing w:line="480" w:lineRule="auto"/>
        <w:ind w:hanging="720"/>
        <w:rPr>
          <w:rFonts w:cstheme="minorHAnsi"/>
          <w:color w:val="000000"/>
        </w:rPr>
      </w:pPr>
      <w:r w:rsidRPr="00A65A11">
        <w:rPr>
          <w:rFonts w:cstheme="minorHAnsi"/>
          <w:color w:val="000000"/>
        </w:rPr>
        <w:t>Black, P., &amp; Wiliam, D. (2003). ‘In praise of educational research’: Formative assessment. </w:t>
      </w:r>
      <w:r w:rsidRPr="00A65A11">
        <w:rPr>
          <w:rStyle w:val="Emphasis"/>
          <w:rFonts w:cstheme="minorHAnsi"/>
          <w:color w:val="000000"/>
        </w:rPr>
        <w:t>British Educational Research Journal</w:t>
      </w:r>
      <w:r w:rsidRPr="00A65A11">
        <w:rPr>
          <w:rFonts w:cstheme="minorHAnsi"/>
          <w:color w:val="000000"/>
        </w:rPr>
        <w:t>, </w:t>
      </w:r>
      <w:r w:rsidRPr="00A65A11">
        <w:rPr>
          <w:rStyle w:val="Emphasis"/>
          <w:rFonts w:cstheme="minorHAnsi"/>
          <w:color w:val="000000"/>
        </w:rPr>
        <w:t>29</w:t>
      </w:r>
      <w:r w:rsidRPr="00A65A11">
        <w:rPr>
          <w:rFonts w:cstheme="minorHAnsi"/>
          <w:color w:val="000000"/>
        </w:rPr>
        <w:t>(5), 623-637. </w:t>
      </w:r>
      <w:hyperlink r:id="rId6" w:history="1">
        <w:r w:rsidRPr="00A65A11">
          <w:rPr>
            <w:rStyle w:val="Hyperlink"/>
            <w:rFonts w:cstheme="minorHAnsi"/>
            <w:color w:val="000000"/>
          </w:rPr>
          <w:t>https://doi.org/10.1080/0141192032000133721</w:t>
        </w:r>
      </w:hyperlink>
    </w:p>
    <w:p w14:paraId="3984F234" w14:textId="77777777" w:rsidR="009B7EDA" w:rsidRPr="00A65A11" w:rsidRDefault="009B7EDA" w:rsidP="009B7EDA">
      <w:pPr>
        <w:pStyle w:val="Bibliography"/>
        <w:spacing w:line="480" w:lineRule="auto"/>
        <w:ind w:hanging="720"/>
        <w:rPr>
          <w:rFonts w:cstheme="minorHAnsi"/>
          <w:color w:val="000000"/>
        </w:rPr>
      </w:pPr>
      <w:r w:rsidRPr="00A65A11">
        <w:rPr>
          <w:rFonts w:cstheme="minorHAnsi"/>
          <w:color w:val="000000"/>
        </w:rPr>
        <w:t>Brookhart, S. M. (1993). Teachers' grading practices: Meaning and values. </w:t>
      </w:r>
      <w:r w:rsidRPr="00A65A11">
        <w:rPr>
          <w:rStyle w:val="Emphasis"/>
          <w:rFonts w:cstheme="minorHAnsi"/>
          <w:color w:val="000000"/>
        </w:rPr>
        <w:t>Journal of Educational Measurement</w:t>
      </w:r>
      <w:r w:rsidRPr="00A65A11">
        <w:rPr>
          <w:rFonts w:cstheme="minorHAnsi"/>
          <w:color w:val="000000"/>
        </w:rPr>
        <w:t>, </w:t>
      </w:r>
      <w:r w:rsidRPr="00A65A11">
        <w:rPr>
          <w:rStyle w:val="Emphasis"/>
          <w:rFonts w:cstheme="minorHAnsi"/>
          <w:color w:val="000000"/>
        </w:rPr>
        <w:t>30</w:t>
      </w:r>
      <w:r w:rsidRPr="00A65A11">
        <w:rPr>
          <w:rFonts w:cstheme="minorHAnsi"/>
          <w:color w:val="000000"/>
        </w:rPr>
        <w:t>(2), 123-142. </w:t>
      </w:r>
      <w:hyperlink r:id="rId7" w:history="1">
        <w:r w:rsidRPr="00A65A11">
          <w:rPr>
            <w:rStyle w:val="Hyperlink"/>
            <w:rFonts w:cstheme="minorHAnsi"/>
            <w:color w:val="000000"/>
          </w:rPr>
          <w:t>https://doi.org/10.1111/j.1745-3984.1993.tb01070.x</w:t>
        </w:r>
      </w:hyperlink>
    </w:p>
    <w:p w14:paraId="3C4C8F8E" w14:textId="77777777" w:rsidR="009B7EDA" w:rsidRPr="00A65A11" w:rsidRDefault="009B7EDA" w:rsidP="009B7EDA">
      <w:pPr>
        <w:pStyle w:val="Bibliography"/>
        <w:spacing w:line="480" w:lineRule="auto"/>
        <w:ind w:hanging="720"/>
        <w:rPr>
          <w:rFonts w:cstheme="minorHAnsi"/>
        </w:rPr>
      </w:pPr>
      <w:r w:rsidRPr="00A65A11">
        <w:rPr>
          <w:rFonts w:cstheme="minorHAnsi"/>
          <w:color w:val="000000"/>
        </w:rPr>
        <w:t>Brookhart, S. M. (1994). Teachers' grading: Practice and theory. </w:t>
      </w:r>
      <w:r w:rsidRPr="00A65A11">
        <w:rPr>
          <w:rStyle w:val="Emphasis"/>
          <w:rFonts w:cstheme="minorHAnsi"/>
          <w:color w:val="000000"/>
        </w:rPr>
        <w:t>Applied Measurement in Education</w:t>
      </w:r>
      <w:r w:rsidRPr="00A65A11">
        <w:rPr>
          <w:rFonts w:cstheme="minorHAnsi"/>
          <w:color w:val="000000"/>
        </w:rPr>
        <w:t>, </w:t>
      </w:r>
      <w:r w:rsidRPr="00A65A11">
        <w:rPr>
          <w:rStyle w:val="Emphasis"/>
          <w:rFonts w:cstheme="minorHAnsi"/>
          <w:color w:val="000000"/>
        </w:rPr>
        <w:t>7</w:t>
      </w:r>
      <w:r w:rsidRPr="00A65A11">
        <w:rPr>
          <w:rFonts w:cstheme="minorHAnsi"/>
          <w:color w:val="000000"/>
        </w:rPr>
        <w:t>(4), 279-301. </w:t>
      </w:r>
      <w:hyperlink r:id="rId8" w:history="1">
        <w:r w:rsidRPr="00A65A11">
          <w:rPr>
            <w:rStyle w:val="Hyperlink"/>
            <w:rFonts w:cstheme="minorHAnsi"/>
            <w:color w:val="000000"/>
          </w:rPr>
          <w:t>https://doi.org/10.1207/s15324818ame0704_2</w:t>
        </w:r>
      </w:hyperlink>
    </w:p>
    <w:p w14:paraId="602C0C2E" w14:textId="77777777" w:rsidR="009B7EDA" w:rsidRPr="00A65A11" w:rsidRDefault="009B7EDA" w:rsidP="009B7EDA">
      <w:pPr>
        <w:pStyle w:val="Bibliography"/>
        <w:spacing w:line="480" w:lineRule="auto"/>
        <w:ind w:hanging="720"/>
        <w:rPr>
          <w:rFonts w:cstheme="minorHAnsi"/>
        </w:rPr>
      </w:pPr>
      <w:r w:rsidRPr="00A65A11">
        <w:rPr>
          <w:rFonts w:cstheme="minorHAnsi"/>
          <w:color w:val="000000"/>
        </w:rPr>
        <w:t>Brookhart, S. M., Guskey, T. R., Bowers, A. J., McMillan, J. H., Smith, J. K., Smith, L. F., Stevens, M. T., &amp; Welsh, M. E. (2016). A century of grading research. </w:t>
      </w:r>
      <w:r w:rsidRPr="00A65A11">
        <w:rPr>
          <w:rStyle w:val="Emphasis"/>
          <w:rFonts w:cstheme="minorHAnsi"/>
          <w:color w:val="000000"/>
        </w:rPr>
        <w:t>Review of Educational Research</w:t>
      </w:r>
      <w:r w:rsidRPr="00A65A11">
        <w:rPr>
          <w:rFonts w:cstheme="minorHAnsi"/>
          <w:color w:val="000000"/>
        </w:rPr>
        <w:t>, </w:t>
      </w:r>
      <w:r w:rsidRPr="00A65A11">
        <w:rPr>
          <w:rStyle w:val="Emphasis"/>
          <w:rFonts w:cstheme="minorHAnsi"/>
          <w:color w:val="000000"/>
        </w:rPr>
        <w:t>86</w:t>
      </w:r>
      <w:r w:rsidRPr="00A65A11">
        <w:rPr>
          <w:rFonts w:cstheme="minorHAnsi"/>
          <w:color w:val="000000"/>
        </w:rPr>
        <w:t>(4), 803-848. </w:t>
      </w:r>
      <w:hyperlink r:id="rId9" w:history="1">
        <w:r w:rsidRPr="00A65A11">
          <w:rPr>
            <w:rStyle w:val="Hyperlink"/>
            <w:rFonts w:cstheme="minorHAnsi"/>
            <w:color w:val="000000"/>
          </w:rPr>
          <w:t>https://doi.org/10.3102/0034654316672069</w:t>
        </w:r>
      </w:hyperlink>
    </w:p>
    <w:p w14:paraId="14DC3980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Brown, G. T. L., Peterson, E. R., &amp; Yao, E. S. (2016). Student conceptions of feedback: Impact on self‐regulation, self‐efficacy, and academic achievement. </w:t>
      </w:r>
      <w:r w:rsidRPr="00A65A11">
        <w:rPr>
          <w:rFonts w:cstheme="minorHAnsi"/>
          <w:i/>
          <w:iCs/>
          <w:sz w:val="22"/>
          <w:szCs w:val="22"/>
        </w:rPr>
        <w:t>British Journal of Educational Psychology</w:t>
      </w:r>
      <w:r w:rsidRPr="00A65A11">
        <w:rPr>
          <w:rFonts w:cstheme="minorHAnsi"/>
          <w:sz w:val="22"/>
          <w:szCs w:val="22"/>
        </w:rPr>
        <w:t xml:space="preserve">, 86(4), 606–629. </w:t>
      </w:r>
      <w:hyperlink r:id="rId10" w:history="1">
        <w:r w:rsidRPr="009F7401">
          <w:rPr>
            <w:rStyle w:val="Hyperlink"/>
            <w:rFonts w:cstheme="minorHAnsi"/>
            <w:color w:val="auto"/>
            <w:sz w:val="22"/>
            <w:szCs w:val="22"/>
          </w:rPr>
          <w:t>https://doi.org/10.1111/bjep.12126</w:t>
        </w:r>
      </w:hyperlink>
    </w:p>
    <w:p w14:paraId="5F968F7B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Butler, R. (1988). Enhancing and undermining intrinsic motivation: The effects of task-involving and ego-involving evaluation on interest and performance. </w:t>
      </w:r>
      <w:r w:rsidRPr="00A65A11">
        <w:rPr>
          <w:rFonts w:cstheme="minorHAnsi"/>
          <w:i/>
          <w:iCs/>
          <w:sz w:val="22"/>
          <w:szCs w:val="22"/>
        </w:rPr>
        <w:t>British Journal of Educational Psychology</w:t>
      </w:r>
      <w:r w:rsidRPr="00A65A11">
        <w:rPr>
          <w:rFonts w:cstheme="minorHAnsi"/>
          <w:sz w:val="22"/>
          <w:szCs w:val="22"/>
        </w:rPr>
        <w:t xml:space="preserve">, 58(1), 1–14. </w:t>
      </w:r>
      <w:hyperlink r:id="rId11" w:history="1">
        <w:r w:rsidRPr="009F7401">
          <w:rPr>
            <w:rStyle w:val="Hyperlink"/>
            <w:rFonts w:cstheme="minorHAnsi"/>
            <w:color w:val="auto"/>
            <w:sz w:val="22"/>
            <w:szCs w:val="22"/>
          </w:rPr>
          <w:t>https://doi.org/10.1111/j.2044-8279.1988.tb00874.x</w:t>
        </w:r>
      </w:hyperlink>
    </w:p>
    <w:p w14:paraId="2E0B536D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lastRenderedPageBreak/>
        <w:t xml:space="preserve">Butler, R., &amp; Nisan, M. (1986). Effects of no feedback, task-related comments, and grades on intrinsic motivation and performance. </w:t>
      </w:r>
      <w:r w:rsidRPr="00A65A11">
        <w:rPr>
          <w:rFonts w:cstheme="minorHAnsi"/>
          <w:i/>
          <w:iCs/>
          <w:sz w:val="22"/>
          <w:szCs w:val="22"/>
        </w:rPr>
        <w:t>Journal of Educational Psychology</w:t>
      </w:r>
      <w:r w:rsidRPr="00A65A11">
        <w:rPr>
          <w:rFonts w:cstheme="minorHAnsi"/>
          <w:sz w:val="22"/>
          <w:szCs w:val="22"/>
        </w:rPr>
        <w:t>, 78(3), 210–216</w:t>
      </w:r>
      <w:r w:rsidRPr="009F7401">
        <w:rPr>
          <w:rFonts w:cstheme="minorHAnsi"/>
          <w:sz w:val="22"/>
          <w:szCs w:val="22"/>
        </w:rPr>
        <w:t xml:space="preserve">. </w:t>
      </w:r>
      <w:hyperlink r:id="rId12" w:history="1">
        <w:r w:rsidRPr="009F7401">
          <w:rPr>
            <w:rStyle w:val="Hyperlink"/>
            <w:rFonts w:cstheme="minorHAnsi"/>
            <w:color w:val="auto"/>
            <w:sz w:val="22"/>
            <w:szCs w:val="22"/>
          </w:rPr>
          <w:t>https://doi.org/10.1037//0022-0663.78.3.210</w:t>
        </w:r>
      </w:hyperlink>
    </w:p>
    <w:p w14:paraId="38502A35" w14:textId="77777777" w:rsidR="009B7EDA" w:rsidRDefault="009B7EDA" w:rsidP="009B7EDA">
      <w:pPr>
        <w:spacing w:line="480" w:lineRule="auto"/>
        <w:ind w:hanging="720"/>
        <w:rPr>
          <w:rFonts w:ascii="Source Sans Pro" w:hAnsi="Source Sans Pro"/>
          <w:color w:val="3A3A3A"/>
          <w:sz w:val="23"/>
          <w:szCs w:val="23"/>
          <w:shd w:val="clear" w:color="auto" w:fill="FFFFFF"/>
        </w:rPr>
      </w:pPr>
      <w:r>
        <w:rPr>
          <w:sz w:val="22"/>
          <w:szCs w:val="22"/>
        </w:rPr>
        <w:t xml:space="preserve">Carless, D. (2019). Feedback loops and the longer-term: Towards feedback spirals. </w:t>
      </w:r>
      <w:r w:rsidRPr="00DD1F07">
        <w:rPr>
          <w:i/>
          <w:iCs/>
          <w:sz w:val="22"/>
          <w:szCs w:val="22"/>
        </w:rPr>
        <w:t>Assessment &amp; Evaluation in Higher Education</w:t>
      </w:r>
      <w:r>
        <w:rPr>
          <w:sz w:val="22"/>
          <w:szCs w:val="22"/>
        </w:rPr>
        <w:t>, 44(5), 705-714).</w:t>
      </w:r>
      <w:r w:rsidRPr="00936641">
        <w:rPr>
          <w:sz w:val="22"/>
          <w:szCs w:val="22"/>
        </w:rPr>
        <w:t xml:space="preserve"> </w:t>
      </w:r>
      <w:hyperlink r:id="rId13" w:history="1">
        <w:r w:rsidRPr="00936641">
          <w:rPr>
            <w:rStyle w:val="Hyperlink"/>
            <w:rFonts w:ascii="Source Sans Pro" w:hAnsi="Source Sans Pro"/>
            <w:color w:val="auto"/>
            <w:sz w:val="23"/>
            <w:szCs w:val="23"/>
            <w:shd w:val="clear" w:color="auto" w:fill="FFFFFF"/>
          </w:rPr>
          <w:t>https://doi.org/10.1080/02602938.2018.1531108</w:t>
        </w:r>
      </w:hyperlink>
    </w:p>
    <w:p w14:paraId="767005E6" w14:textId="77777777" w:rsidR="009B7EDA" w:rsidRPr="00965C5D" w:rsidRDefault="009B7EDA" w:rsidP="009B7EDA">
      <w:pPr>
        <w:spacing w:line="480" w:lineRule="auto"/>
        <w:ind w:hanging="720"/>
        <w:rPr>
          <w:rFonts w:ascii="Source Sans Pro" w:hAnsi="Source Sans Pro"/>
          <w:color w:val="3A3A3A"/>
          <w:sz w:val="23"/>
          <w:szCs w:val="23"/>
          <w:shd w:val="clear" w:color="auto" w:fill="FFFFFF"/>
        </w:rPr>
      </w:pPr>
      <w:r w:rsidRPr="00A65A11">
        <w:rPr>
          <w:rFonts w:cstheme="minorHAnsi"/>
          <w:sz w:val="22"/>
          <w:szCs w:val="22"/>
        </w:rPr>
        <w:t>Cox, K. B. (2011). Putting classroom grading on the table: A reform in progress</w:t>
      </w:r>
      <w:r w:rsidRPr="00A65A11">
        <w:rPr>
          <w:rFonts w:cstheme="minorHAnsi"/>
          <w:i/>
          <w:iCs/>
          <w:sz w:val="22"/>
          <w:szCs w:val="22"/>
        </w:rPr>
        <w:t>. American Secondary Education</w:t>
      </w:r>
      <w:r w:rsidRPr="00A65A11">
        <w:rPr>
          <w:rFonts w:cstheme="minorHAnsi"/>
          <w:sz w:val="22"/>
          <w:szCs w:val="22"/>
        </w:rPr>
        <w:t>, 40(1), 67–87.</w:t>
      </w:r>
    </w:p>
    <w:p w14:paraId="429F2FCE" w14:textId="77777777" w:rsidR="009B7EDA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Daniels, L. M., &amp; Bulut, O. (2020). Students' perceived usefulness of computerized percentage‐only vs. descriptive score reports: Associations with motivation and grades. </w:t>
      </w:r>
      <w:r w:rsidRPr="00A65A11">
        <w:rPr>
          <w:rFonts w:cstheme="minorHAnsi"/>
          <w:i/>
          <w:iCs/>
          <w:sz w:val="22"/>
          <w:szCs w:val="22"/>
        </w:rPr>
        <w:t>Journal of Computer Assisted Learning</w:t>
      </w:r>
      <w:r w:rsidRPr="00A65A11">
        <w:rPr>
          <w:rFonts w:cstheme="minorHAnsi"/>
          <w:sz w:val="22"/>
          <w:szCs w:val="22"/>
        </w:rPr>
        <w:t>, 36(2), 199–208.</w:t>
      </w:r>
      <w:r w:rsidRPr="00936641">
        <w:rPr>
          <w:rFonts w:cstheme="minorHAnsi"/>
          <w:sz w:val="22"/>
          <w:szCs w:val="22"/>
        </w:rPr>
        <w:t xml:space="preserve"> </w:t>
      </w:r>
      <w:hyperlink r:id="rId14" w:history="1">
        <w:r w:rsidRPr="00936641">
          <w:rPr>
            <w:rStyle w:val="Hyperlink"/>
            <w:rFonts w:cstheme="minorHAnsi"/>
            <w:color w:val="auto"/>
            <w:sz w:val="22"/>
            <w:szCs w:val="22"/>
          </w:rPr>
          <w:t>https://doi.org/10.1111/jcal.12398</w:t>
        </w:r>
      </w:hyperlink>
    </w:p>
    <w:p w14:paraId="6FF9D75C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Davies, A. (2007). </w:t>
      </w:r>
      <w:r w:rsidRPr="00044D51">
        <w:rPr>
          <w:rFonts w:cstheme="minorHAnsi"/>
          <w:i/>
          <w:iCs/>
          <w:sz w:val="22"/>
          <w:szCs w:val="22"/>
        </w:rPr>
        <w:t>Making classroom assessment work</w:t>
      </w:r>
      <w:r>
        <w:rPr>
          <w:rFonts w:cstheme="minorHAnsi"/>
          <w:sz w:val="22"/>
          <w:szCs w:val="22"/>
        </w:rPr>
        <w:t>. Connections Publishing.</w:t>
      </w:r>
    </w:p>
    <w:p w14:paraId="364FB7CD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Gall, M., Gall, J. P., &amp; Borg, W. R. (2009). </w:t>
      </w:r>
      <w:r w:rsidRPr="00A65A11">
        <w:rPr>
          <w:rFonts w:cstheme="minorHAnsi"/>
          <w:i/>
          <w:iCs/>
          <w:sz w:val="22"/>
          <w:szCs w:val="22"/>
        </w:rPr>
        <w:t>Applying educational research: How to read, do, and use research to solve problems of practice (7th ed.)</w:t>
      </w:r>
      <w:r w:rsidRPr="00A65A11">
        <w:rPr>
          <w:rFonts w:cstheme="minorHAnsi"/>
          <w:sz w:val="22"/>
          <w:szCs w:val="22"/>
        </w:rPr>
        <w:t>. Pearson.</w:t>
      </w:r>
    </w:p>
    <w:p w14:paraId="2B4AFD5B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Gamlem, S. M., &amp; Smith, K. (2013). Student perceptions of classroom feedback. </w:t>
      </w:r>
      <w:r w:rsidRPr="00A65A11">
        <w:rPr>
          <w:rFonts w:cstheme="minorHAnsi"/>
          <w:i/>
          <w:iCs/>
          <w:sz w:val="22"/>
          <w:szCs w:val="22"/>
        </w:rPr>
        <w:t>Assessment in Education: Principles, Policy &amp; Practice</w:t>
      </w:r>
      <w:r w:rsidRPr="00A65A11">
        <w:rPr>
          <w:rFonts w:cstheme="minorHAnsi"/>
          <w:sz w:val="22"/>
          <w:szCs w:val="22"/>
        </w:rPr>
        <w:t xml:space="preserve">, 20(2), 150–169. </w:t>
      </w:r>
      <w:hyperlink r:id="rId15" w:history="1">
        <w:r w:rsidRPr="00936641">
          <w:rPr>
            <w:rStyle w:val="Hyperlink"/>
            <w:rFonts w:cstheme="minorHAnsi"/>
            <w:color w:val="auto"/>
            <w:sz w:val="22"/>
            <w:szCs w:val="22"/>
          </w:rPr>
          <w:t>https://doi.org/10.1080/0969594X.2012.749212</w:t>
        </w:r>
      </w:hyperlink>
    </w:p>
    <w:p w14:paraId="7AAFF5F9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Harris, L. R., Brown, G. T. L., &amp; Harnett, J. A. (2014). Understanding classroom feedback practices: A study of New Zealand student experiences, perceptions, and emotional responses. </w:t>
      </w:r>
      <w:r w:rsidRPr="00A65A11">
        <w:rPr>
          <w:rFonts w:cstheme="minorHAnsi"/>
          <w:i/>
          <w:iCs/>
          <w:sz w:val="22"/>
          <w:szCs w:val="22"/>
        </w:rPr>
        <w:t>Educational Assessment, Evaluation and Accountability</w:t>
      </w:r>
      <w:r w:rsidRPr="00A65A11">
        <w:rPr>
          <w:rFonts w:cstheme="minorHAnsi"/>
          <w:sz w:val="22"/>
          <w:szCs w:val="22"/>
        </w:rPr>
        <w:t xml:space="preserve">, 26(2), 107–133. </w:t>
      </w:r>
      <w:hyperlink r:id="rId16" w:history="1">
        <w:r w:rsidRPr="00936641">
          <w:rPr>
            <w:rStyle w:val="Hyperlink"/>
            <w:rFonts w:cstheme="minorHAnsi"/>
            <w:color w:val="auto"/>
            <w:sz w:val="22"/>
            <w:szCs w:val="22"/>
          </w:rPr>
          <w:t>https://doi.org/10.1007/s11092-013-9187-5</w:t>
        </w:r>
      </w:hyperlink>
    </w:p>
    <w:p w14:paraId="686860A3" w14:textId="54A0353E" w:rsidR="0004085D" w:rsidRPr="0004085D" w:rsidRDefault="009B7EDA" w:rsidP="0004085D">
      <w:pPr>
        <w:spacing w:line="480" w:lineRule="auto"/>
        <w:ind w:hanging="720"/>
        <w:rPr>
          <w:rFonts w:cstheme="minorHAnsi"/>
          <w:color w:val="0563C1" w:themeColor="hyperlink"/>
          <w:sz w:val="22"/>
          <w:szCs w:val="22"/>
          <w:u w:val="single"/>
        </w:rPr>
      </w:pPr>
      <w:r w:rsidRPr="00A65A11">
        <w:rPr>
          <w:rFonts w:cstheme="minorHAnsi"/>
          <w:sz w:val="22"/>
          <w:szCs w:val="22"/>
        </w:rPr>
        <w:t xml:space="preserve">Harrison, C. J., Konings, K.D., Schuwirth, L., Wass, V., &amp; van der Vleuten, C.P.M. (2015). Barriers to the uptake and use of feedback in the context of summative assessment. </w:t>
      </w:r>
      <w:r w:rsidRPr="00A65A11">
        <w:rPr>
          <w:rFonts w:cstheme="minorHAnsi"/>
          <w:i/>
          <w:iCs/>
          <w:sz w:val="22"/>
          <w:szCs w:val="22"/>
        </w:rPr>
        <w:t>Advances in Health Sciences Education: Theory and Practice</w:t>
      </w:r>
      <w:r w:rsidRPr="00A65A11">
        <w:rPr>
          <w:rFonts w:cstheme="minorHAnsi"/>
          <w:sz w:val="22"/>
          <w:szCs w:val="22"/>
        </w:rPr>
        <w:t>, 20(1), 229–245.</w:t>
      </w:r>
      <w:r w:rsidRPr="00936641">
        <w:rPr>
          <w:rFonts w:cstheme="minorHAnsi"/>
          <w:sz w:val="22"/>
          <w:szCs w:val="22"/>
        </w:rPr>
        <w:t xml:space="preserve"> </w:t>
      </w:r>
      <w:hyperlink r:id="rId17" w:history="1">
        <w:r w:rsidRPr="00936641">
          <w:rPr>
            <w:rStyle w:val="Hyperlink"/>
            <w:rFonts w:cstheme="minorHAnsi"/>
            <w:color w:val="auto"/>
            <w:sz w:val="22"/>
            <w:szCs w:val="22"/>
          </w:rPr>
          <w:t>https://doi.org/10.1007/s10459-014-9524-6</w:t>
        </w:r>
      </w:hyperlink>
    </w:p>
    <w:p w14:paraId="007F45EB" w14:textId="4F429074" w:rsidR="0004085D" w:rsidRDefault="0004085D" w:rsidP="009B7EDA">
      <w:pPr>
        <w:spacing w:line="480" w:lineRule="auto"/>
        <w:ind w:hanging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Hattie</w:t>
      </w:r>
      <w:r w:rsidR="00FF0743">
        <w:rPr>
          <w:sz w:val="22"/>
          <w:szCs w:val="22"/>
          <w:shd w:val="clear" w:color="auto" w:fill="FFFFFF"/>
        </w:rPr>
        <w:t xml:space="preserve">, J. &amp; Clarke, S. (2018) </w:t>
      </w:r>
      <w:r w:rsidR="00FF0743" w:rsidRPr="00442A81">
        <w:rPr>
          <w:i/>
          <w:iCs/>
          <w:sz w:val="22"/>
          <w:szCs w:val="22"/>
          <w:shd w:val="clear" w:color="auto" w:fill="FFFFFF"/>
        </w:rPr>
        <w:t>Visible Learning: Feedback</w:t>
      </w:r>
      <w:r w:rsidR="00FF0743">
        <w:rPr>
          <w:sz w:val="22"/>
          <w:szCs w:val="22"/>
          <w:shd w:val="clear" w:color="auto" w:fill="FFFFFF"/>
        </w:rPr>
        <w:t xml:space="preserve">. </w:t>
      </w:r>
      <w:r w:rsidR="00832232">
        <w:rPr>
          <w:sz w:val="22"/>
          <w:szCs w:val="22"/>
          <w:shd w:val="clear" w:color="auto" w:fill="FFFFFF"/>
        </w:rPr>
        <w:t>Routledge</w:t>
      </w:r>
      <w:r w:rsidR="00442A81">
        <w:rPr>
          <w:sz w:val="22"/>
          <w:szCs w:val="22"/>
          <w:shd w:val="clear" w:color="auto" w:fill="FFFFFF"/>
        </w:rPr>
        <w:t>.</w:t>
      </w:r>
    </w:p>
    <w:p w14:paraId="79222B7C" w14:textId="21276CA2" w:rsidR="009B7EDA" w:rsidRDefault="009B7EDA" w:rsidP="009B7EDA">
      <w:pPr>
        <w:spacing w:line="480" w:lineRule="auto"/>
        <w:ind w:hanging="720"/>
        <w:rPr>
          <w:sz w:val="22"/>
          <w:szCs w:val="22"/>
          <w:shd w:val="clear" w:color="auto" w:fill="FFFFFF"/>
        </w:rPr>
      </w:pPr>
      <w:r w:rsidRPr="00DD1F07">
        <w:rPr>
          <w:sz w:val="22"/>
          <w:szCs w:val="22"/>
          <w:shd w:val="clear" w:color="auto" w:fill="FFFFFF"/>
        </w:rPr>
        <w:t>Hattie</w:t>
      </w:r>
      <w:r>
        <w:rPr>
          <w:sz w:val="22"/>
          <w:szCs w:val="22"/>
          <w:shd w:val="clear" w:color="auto" w:fill="FFFFFF"/>
        </w:rPr>
        <w:t>, J.</w:t>
      </w:r>
      <w:r w:rsidRPr="00DD1F07">
        <w:rPr>
          <w:sz w:val="22"/>
          <w:szCs w:val="22"/>
          <w:shd w:val="clear" w:color="auto" w:fill="FFFFFF"/>
        </w:rPr>
        <w:t>, &amp;</w:t>
      </w:r>
      <w:r>
        <w:rPr>
          <w:sz w:val="22"/>
          <w:szCs w:val="22"/>
          <w:shd w:val="clear" w:color="auto" w:fill="FFFFFF"/>
        </w:rPr>
        <w:t xml:space="preserve"> </w:t>
      </w:r>
      <w:r w:rsidRPr="00DD1F07">
        <w:rPr>
          <w:sz w:val="22"/>
          <w:szCs w:val="22"/>
          <w:shd w:val="clear" w:color="auto" w:fill="FFFFFF"/>
        </w:rPr>
        <w:t>Timperley</w:t>
      </w:r>
      <w:r>
        <w:rPr>
          <w:sz w:val="22"/>
          <w:szCs w:val="22"/>
          <w:shd w:val="clear" w:color="auto" w:fill="FFFFFF"/>
        </w:rPr>
        <w:t>, H</w:t>
      </w:r>
      <w:r w:rsidRPr="00DD1F07">
        <w:rPr>
          <w:sz w:val="22"/>
          <w:szCs w:val="22"/>
          <w:shd w:val="clear" w:color="auto" w:fill="FFFFFF"/>
        </w:rPr>
        <w:t>. (2007). The Power of Feedback. </w:t>
      </w:r>
      <w:r w:rsidRPr="00DD1F07">
        <w:rPr>
          <w:i/>
          <w:iCs/>
          <w:sz w:val="22"/>
          <w:szCs w:val="22"/>
          <w:shd w:val="clear" w:color="auto" w:fill="FFFFFF"/>
        </w:rPr>
        <w:t>Review of Educational Research</w:t>
      </w:r>
      <w:r w:rsidRPr="00DD1F07">
        <w:rPr>
          <w:sz w:val="22"/>
          <w:szCs w:val="22"/>
          <w:shd w:val="clear" w:color="auto" w:fill="FFFFFF"/>
        </w:rPr>
        <w:t>, </w:t>
      </w:r>
      <w:r w:rsidRPr="00DD1F07">
        <w:rPr>
          <w:i/>
          <w:iCs/>
          <w:sz w:val="22"/>
          <w:szCs w:val="22"/>
          <w:shd w:val="clear" w:color="auto" w:fill="FFFFFF"/>
        </w:rPr>
        <w:t>77</w:t>
      </w:r>
      <w:r w:rsidRPr="00DD1F07">
        <w:rPr>
          <w:sz w:val="22"/>
          <w:szCs w:val="22"/>
          <w:shd w:val="clear" w:color="auto" w:fill="FFFFFF"/>
        </w:rPr>
        <w:t xml:space="preserve">(1), 81–112. </w:t>
      </w:r>
      <w:hyperlink r:id="rId18" w:history="1">
        <w:r w:rsidRPr="00936641">
          <w:rPr>
            <w:rStyle w:val="Hyperlink"/>
            <w:color w:val="auto"/>
            <w:sz w:val="22"/>
            <w:szCs w:val="22"/>
            <w:shd w:val="clear" w:color="auto" w:fill="FFFFFF"/>
          </w:rPr>
          <w:t>https://doi.org/10.3102/003465430298487</w:t>
        </w:r>
      </w:hyperlink>
    </w:p>
    <w:p w14:paraId="2EEB3CDE" w14:textId="77777777" w:rsidR="009B7EDA" w:rsidRPr="00DD1F07" w:rsidRDefault="009B7EDA" w:rsidP="009B7EDA">
      <w:pPr>
        <w:spacing w:line="480" w:lineRule="auto"/>
        <w:ind w:hanging="720"/>
        <w:rPr>
          <w:sz w:val="22"/>
          <w:szCs w:val="22"/>
          <w:shd w:val="clear" w:color="auto" w:fill="FFFFFF"/>
        </w:rPr>
      </w:pPr>
      <w:r w:rsidRPr="00A65A11">
        <w:rPr>
          <w:rFonts w:cstheme="minorHAnsi"/>
          <w:sz w:val="22"/>
          <w:szCs w:val="22"/>
        </w:rPr>
        <w:lastRenderedPageBreak/>
        <w:t>Henderson Hargrove, M. (2020). Quantitative study exploring traditional and standards-based grading practices’ effect on student yearly reading achievement growth as measured by MAP. [Doctoral dissertation, Northcentral University]. ProQuest Dissertations and Theses Global.</w:t>
      </w:r>
    </w:p>
    <w:p w14:paraId="118ADE34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A65A11">
        <w:rPr>
          <w:rFonts w:cstheme="minorHAnsi"/>
          <w:color w:val="000000" w:themeColor="text1"/>
          <w:sz w:val="22"/>
          <w:szCs w:val="22"/>
          <w:shd w:val="clear" w:color="auto" w:fill="FFFFFF"/>
        </w:rPr>
        <w:t>Iamarino, D.L. (2014). The Benefits of Standards-Based Grading: A Critical Evaluation of Modern Grading Practices. </w:t>
      </w:r>
      <w:r w:rsidRPr="00A65A11">
        <w:rPr>
          <w:rStyle w:val="Emphasis"/>
          <w:rFonts w:cstheme="minorHAnsi"/>
          <w:color w:val="000000" w:themeColor="text1"/>
          <w:sz w:val="22"/>
          <w:szCs w:val="22"/>
          <w:shd w:val="clear" w:color="auto" w:fill="FFFFFF"/>
        </w:rPr>
        <w:t>Current Issues in Education, 17</w:t>
      </w:r>
      <w:r w:rsidRPr="00A65A11">
        <w:rPr>
          <w:rFonts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177B244B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>Kirk, K. M. (2019). The effect of standards-based grading on middle school student achievement and motivation. [Doctoral dissertation, University of St. Francis]. ProQuest Dissertations and Theses Global.</w:t>
      </w:r>
    </w:p>
    <w:p w14:paraId="5E2C113B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Klapp, A. (2018). Does academic and social self-concept and motivation explain the effect of grading on students’ achievement? </w:t>
      </w:r>
      <w:r w:rsidRPr="00A65A11">
        <w:rPr>
          <w:rFonts w:cstheme="minorHAnsi"/>
          <w:i/>
          <w:iCs/>
          <w:sz w:val="22"/>
          <w:szCs w:val="22"/>
        </w:rPr>
        <w:t>European Journal of Psychology of Education</w:t>
      </w:r>
      <w:r w:rsidRPr="00A65A11">
        <w:rPr>
          <w:rFonts w:cstheme="minorHAnsi"/>
          <w:sz w:val="22"/>
          <w:szCs w:val="22"/>
        </w:rPr>
        <w:t xml:space="preserve">, 33(2), 355–376. </w:t>
      </w:r>
      <w:hyperlink r:id="rId19" w:history="1">
        <w:r w:rsidRPr="00B0446F">
          <w:rPr>
            <w:rStyle w:val="Hyperlink"/>
            <w:rFonts w:cstheme="minorHAnsi"/>
            <w:color w:val="auto"/>
            <w:sz w:val="22"/>
            <w:szCs w:val="22"/>
          </w:rPr>
          <w:t>https://doi.org/10.1007/s10212-017-0331-3</w:t>
        </w:r>
      </w:hyperlink>
    </w:p>
    <w:p w14:paraId="5B9DFA12" w14:textId="77777777" w:rsidR="009B7EDA" w:rsidRPr="00A65A11" w:rsidRDefault="009B7EDA" w:rsidP="009B7EDA">
      <w:pPr>
        <w:spacing w:line="480" w:lineRule="auto"/>
        <w:ind w:hanging="720"/>
        <w:rPr>
          <w:rFonts w:ascii="Calibri" w:hAnsi="Calibri" w:cs="Calibr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Kyaruzi, F., Strijbos, J., Ufer, S., &amp; Brown, G. T. L. (2019). Students' formative assessment perceptions, feedback use and mathematics performance in secondary schools in Tanzania. </w:t>
      </w:r>
      <w:r w:rsidRPr="00A65A11">
        <w:rPr>
          <w:rFonts w:cstheme="minorHAnsi"/>
          <w:i/>
          <w:iCs/>
          <w:sz w:val="22"/>
          <w:szCs w:val="22"/>
        </w:rPr>
        <w:t>Assessment in Education: Principles, Policy &amp; Practice</w:t>
      </w:r>
      <w:r w:rsidRPr="00A65A11">
        <w:rPr>
          <w:rFonts w:cstheme="minorHAnsi"/>
          <w:sz w:val="22"/>
          <w:szCs w:val="22"/>
        </w:rPr>
        <w:t>, 26(3), 278–302.</w:t>
      </w:r>
      <w:r w:rsidRPr="00B0446F">
        <w:rPr>
          <w:rFonts w:cstheme="minorHAnsi"/>
          <w:sz w:val="22"/>
          <w:szCs w:val="22"/>
        </w:rPr>
        <w:t xml:space="preserve"> </w:t>
      </w:r>
      <w:hyperlink r:id="rId20" w:history="1">
        <w:r w:rsidRPr="00B0446F">
          <w:rPr>
            <w:rStyle w:val="Hyperlink"/>
            <w:rFonts w:cstheme="minorHAnsi"/>
            <w:color w:val="auto"/>
            <w:sz w:val="22"/>
            <w:szCs w:val="22"/>
          </w:rPr>
          <w:t>https://doi.org/10.1080/0969594X.2019.1593103</w:t>
        </w:r>
      </w:hyperlink>
    </w:p>
    <w:p w14:paraId="568F651F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Lipnevich, A. A., &amp; Smith, J. K. (2009). “I really need feedback to learn:” students’ perspectives on the effectiveness of the differential feedback messages. </w:t>
      </w:r>
      <w:r w:rsidRPr="00A65A11">
        <w:rPr>
          <w:rFonts w:cstheme="minorHAnsi"/>
          <w:i/>
          <w:iCs/>
          <w:sz w:val="22"/>
          <w:szCs w:val="22"/>
        </w:rPr>
        <w:t>Educational Assessment, Evaluation and Accountability</w:t>
      </w:r>
      <w:r w:rsidRPr="00A65A11">
        <w:rPr>
          <w:rFonts w:cstheme="minorHAnsi"/>
          <w:sz w:val="22"/>
          <w:szCs w:val="22"/>
        </w:rPr>
        <w:t xml:space="preserve">, 21(4), 347–367. </w:t>
      </w:r>
      <w:hyperlink r:id="rId21" w:history="1">
        <w:r w:rsidRPr="00B0446F">
          <w:rPr>
            <w:rStyle w:val="Hyperlink"/>
            <w:rFonts w:cstheme="minorHAnsi"/>
            <w:color w:val="auto"/>
            <w:sz w:val="22"/>
            <w:szCs w:val="22"/>
          </w:rPr>
          <w:t>https://doi.org/10.1007/s11092-009-9082-2</w:t>
        </w:r>
      </w:hyperlink>
    </w:p>
    <w:p w14:paraId="56273545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color w:val="000000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 xml:space="preserve">Machi, L. A. (2020). An interview with Lawrence A. Machi: The literature review in psychology: Six steps to success. </w:t>
      </w:r>
      <w:r w:rsidRPr="00A65A11">
        <w:rPr>
          <w:rFonts w:cstheme="minorHAnsi"/>
          <w:i/>
          <w:iCs/>
          <w:color w:val="000000"/>
          <w:sz w:val="22"/>
          <w:szCs w:val="22"/>
        </w:rPr>
        <w:t>North American Journal of Psychology</w:t>
      </w:r>
      <w:r w:rsidRPr="00A65A11">
        <w:rPr>
          <w:rFonts w:cstheme="minorHAnsi"/>
          <w:color w:val="000000"/>
          <w:sz w:val="22"/>
          <w:szCs w:val="22"/>
        </w:rPr>
        <w:t>, 20(2), 475-480.</w:t>
      </w:r>
    </w:p>
    <w:p w14:paraId="39337E32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color w:val="000000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>McMillan, J. H. (2005). Secondary teachers' classroom assessment and grading practices.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Educational Measurement: Issues and Practice</w:t>
      </w:r>
      <w:r w:rsidRPr="00A65A11">
        <w:rPr>
          <w:rFonts w:cstheme="minorHAnsi"/>
          <w:color w:val="000000"/>
          <w:sz w:val="22"/>
          <w:szCs w:val="22"/>
        </w:rPr>
        <w:t>,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20</w:t>
      </w:r>
      <w:r w:rsidRPr="00A65A11">
        <w:rPr>
          <w:rFonts w:cstheme="minorHAnsi"/>
          <w:color w:val="000000"/>
          <w:sz w:val="22"/>
          <w:szCs w:val="22"/>
        </w:rPr>
        <w:t>(1), 20-32. </w:t>
      </w:r>
      <w:hyperlink r:id="rId22" w:history="1">
        <w:r w:rsidRPr="00A65A11">
          <w:rPr>
            <w:rStyle w:val="Hyperlink"/>
            <w:rFonts w:cstheme="minorHAnsi"/>
            <w:color w:val="000000"/>
            <w:sz w:val="22"/>
            <w:szCs w:val="22"/>
          </w:rPr>
          <w:t>https://doi.org/10.1111/j.1745-3992.2001.tb00055.x</w:t>
        </w:r>
      </w:hyperlink>
    </w:p>
    <w:p w14:paraId="63851A19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color w:val="000000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>McTighe, J., &amp; Ferrara, S. (1998). </w:t>
      </w:r>
      <w:r w:rsidRPr="0056135B">
        <w:rPr>
          <w:rStyle w:val="Emphasis"/>
          <w:rFonts w:cstheme="minorHAnsi"/>
          <w:i w:val="0"/>
          <w:iCs w:val="0"/>
          <w:color w:val="000000"/>
          <w:sz w:val="22"/>
          <w:szCs w:val="22"/>
        </w:rPr>
        <w:t>Assessing learning in the classroom</w:t>
      </w:r>
      <w:r>
        <w:rPr>
          <w:rFonts w:cstheme="minorHAnsi"/>
          <w:color w:val="000000"/>
          <w:sz w:val="22"/>
          <w:szCs w:val="22"/>
        </w:rPr>
        <w:t xml:space="preserve">: Student assessment series. </w:t>
      </w:r>
      <w:r w:rsidRPr="00A65A11">
        <w:rPr>
          <w:rFonts w:cstheme="minorHAnsi"/>
          <w:i/>
          <w:iCs/>
          <w:color w:val="000000"/>
          <w:sz w:val="22"/>
          <w:szCs w:val="22"/>
        </w:rPr>
        <w:t>National Education Ass</w:t>
      </w:r>
      <w:r>
        <w:rPr>
          <w:rFonts w:cstheme="minorHAnsi"/>
          <w:i/>
          <w:iCs/>
          <w:color w:val="000000"/>
          <w:sz w:val="22"/>
          <w:szCs w:val="22"/>
        </w:rPr>
        <w:t>ociation</w:t>
      </w:r>
      <w:r w:rsidRPr="00A65A11">
        <w:rPr>
          <w:rFonts w:cstheme="minorHAnsi"/>
          <w:color w:val="000000"/>
          <w:sz w:val="22"/>
          <w:szCs w:val="22"/>
        </w:rPr>
        <w:t>.</w:t>
      </w:r>
    </w:p>
    <w:p w14:paraId="36329D9F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  <w:shd w:val="clear" w:color="auto" w:fill="FFFFFF"/>
        </w:rPr>
        <w:lastRenderedPageBreak/>
        <w:t>Neigel, S. (2017). </w:t>
      </w:r>
      <w:r w:rsidRPr="00A65A11">
        <w:rPr>
          <w:rFonts w:cstheme="minorHAnsi"/>
          <w:i/>
          <w:iCs/>
          <w:sz w:val="22"/>
          <w:szCs w:val="22"/>
          <w:shd w:val="clear" w:color="auto" w:fill="FFFFFF"/>
        </w:rPr>
        <w:t xml:space="preserve">Assessing the </w:t>
      </w:r>
      <w:r>
        <w:rPr>
          <w:rFonts w:cstheme="minorHAnsi"/>
          <w:i/>
          <w:iCs/>
          <w:sz w:val="22"/>
          <w:szCs w:val="22"/>
          <w:shd w:val="clear" w:color="auto" w:fill="FFFFFF"/>
        </w:rPr>
        <w:t>m</w:t>
      </w:r>
      <w:r w:rsidRPr="00A65A11">
        <w:rPr>
          <w:rFonts w:cstheme="minorHAnsi"/>
          <w:i/>
          <w:iCs/>
          <w:sz w:val="22"/>
          <w:szCs w:val="22"/>
          <w:shd w:val="clear" w:color="auto" w:fill="FFFFFF"/>
        </w:rPr>
        <w:t xml:space="preserve">eaning and </w:t>
      </w:r>
      <w:r>
        <w:rPr>
          <w:rFonts w:cstheme="minorHAnsi"/>
          <w:i/>
          <w:iCs/>
          <w:sz w:val="22"/>
          <w:szCs w:val="22"/>
          <w:shd w:val="clear" w:color="auto" w:fill="FFFFFF"/>
        </w:rPr>
        <w:t>v=v</w:t>
      </w:r>
      <w:r w:rsidRPr="00A65A11">
        <w:rPr>
          <w:rFonts w:cstheme="minorHAnsi"/>
          <w:i/>
          <w:iCs/>
          <w:sz w:val="22"/>
          <w:szCs w:val="22"/>
          <w:shd w:val="clear" w:color="auto" w:fill="FFFFFF"/>
        </w:rPr>
        <w:t xml:space="preserve">alue of </w:t>
      </w:r>
      <w:r>
        <w:rPr>
          <w:rFonts w:cstheme="minorHAnsi"/>
          <w:i/>
          <w:iCs/>
          <w:sz w:val="22"/>
          <w:szCs w:val="22"/>
          <w:shd w:val="clear" w:color="auto" w:fill="FFFFFF"/>
        </w:rPr>
        <w:t>t</w:t>
      </w:r>
      <w:r w:rsidRPr="00A65A11">
        <w:rPr>
          <w:rFonts w:cstheme="minorHAnsi"/>
          <w:i/>
          <w:iCs/>
          <w:sz w:val="22"/>
          <w:szCs w:val="22"/>
          <w:shd w:val="clear" w:color="auto" w:fill="FFFFFF"/>
        </w:rPr>
        <w:t xml:space="preserve">raditional </w:t>
      </w:r>
      <w:r>
        <w:rPr>
          <w:rFonts w:cstheme="minorHAnsi"/>
          <w:i/>
          <w:iCs/>
          <w:sz w:val="22"/>
          <w:szCs w:val="22"/>
          <w:shd w:val="clear" w:color="auto" w:fill="FFFFFF"/>
        </w:rPr>
        <w:t>g</w:t>
      </w:r>
      <w:r w:rsidRPr="00A65A11">
        <w:rPr>
          <w:rFonts w:cstheme="minorHAnsi"/>
          <w:i/>
          <w:iCs/>
          <w:sz w:val="22"/>
          <w:szCs w:val="22"/>
          <w:shd w:val="clear" w:color="auto" w:fill="FFFFFF"/>
        </w:rPr>
        <w:t xml:space="preserve">rading </w:t>
      </w:r>
      <w:r>
        <w:rPr>
          <w:rFonts w:cstheme="minorHAnsi"/>
          <w:i/>
          <w:iCs/>
          <w:sz w:val="22"/>
          <w:szCs w:val="22"/>
          <w:shd w:val="clear" w:color="auto" w:fill="FFFFFF"/>
        </w:rPr>
        <w:t>s</w:t>
      </w:r>
      <w:r w:rsidRPr="00A65A11">
        <w:rPr>
          <w:rFonts w:cstheme="minorHAnsi"/>
          <w:i/>
          <w:iCs/>
          <w:sz w:val="22"/>
          <w:szCs w:val="22"/>
          <w:shd w:val="clear" w:color="auto" w:fill="FFFFFF"/>
        </w:rPr>
        <w:t xml:space="preserve">ystems: Teacher </w:t>
      </w:r>
      <w:r>
        <w:rPr>
          <w:rFonts w:cstheme="minorHAnsi"/>
          <w:i/>
          <w:iCs/>
          <w:sz w:val="22"/>
          <w:szCs w:val="22"/>
          <w:shd w:val="clear" w:color="auto" w:fill="FFFFFF"/>
        </w:rPr>
        <w:t>p</w:t>
      </w:r>
      <w:r w:rsidRPr="00A65A11">
        <w:rPr>
          <w:rFonts w:cstheme="minorHAnsi"/>
          <w:i/>
          <w:iCs/>
          <w:sz w:val="22"/>
          <w:szCs w:val="22"/>
          <w:shd w:val="clear" w:color="auto" w:fill="FFFFFF"/>
        </w:rPr>
        <w:t xml:space="preserve">ractices and </w:t>
      </w:r>
      <w:r>
        <w:rPr>
          <w:rFonts w:cstheme="minorHAnsi"/>
          <w:i/>
          <w:iCs/>
          <w:sz w:val="22"/>
          <w:szCs w:val="22"/>
          <w:shd w:val="clear" w:color="auto" w:fill="FFFFFF"/>
        </w:rPr>
        <w:t>p</w:t>
      </w:r>
      <w:r w:rsidRPr="00A65A11">
        <w:rPr>
          <w:rFonts w:cstheme="minorHAnsi"/>
          <w:i/>
          <w:iCs/>
          <w:sz w:val="22"/>
          <w:szCs w:val="22"/>
          <w:shd w:val="clear" w:color="auto" w:fill="FFFFFF"/>
        </w:rPr>
        <w:t>erspectives </w:t>
      </w:r>
      <w:r w:rsidRPr="00A65A11">
        <w:rPr>
          <w:rFonts w:cstheme="minorHAnsi"/>
          <w:sz w:val="22"/>
          <w:szCs w:val="22"/>
          <w:shd w:val="clear" w:color="auto" w:fill="FFFFFF"/>
        </w:rPr>
        <w:t>(Order No. 10683026). [Doctoral dissertation, University of Southern California]. ProQuest Dissertations and Theses Global.</w:t>
      </w:r>
    </w:p>
    <w:p w14:paraId="4ED5A571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>Nolen, S. B. (2011). The role of educational systems in the link between formative assessment and motivation.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Theory into Practice</w:t>
      </w:r>
      <w:r w:rsidRPr="00A65A11">
        <w:rPr>
          <w:rFonts w:cstheme="minorHAnsi"/>
          <w:color w:val="000000"/>
          <w:sz w:val="22"/>
          <w:szCs w:val="22"/>
        </w:rPr>
        <w:t>,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50</w:t>
      </w:r>
      <w:r w:rsidRPr="00A65A11">
        <w:rPr>
          <w:rFonts w:cstheme="minorHAnsi"/>
          <w:color w:val="000000"/>
          <w:sz w:val="22"/>
          <w:szCs w:val="22"/>
        </w:rPr>
        <w:t>(4), 319-326. </w:t>
      </w:r>
      <w:hyperlink r:id="rId23" w:history="1">
        <w:r w:rsidRPr="00A65A11">
          <w:rPr>
            <w:rStyle w:val="Hyperlink"/>
            <w:rFonts w:cstheme="minorHAnsi"/>
            <w:color w:val="000000"/>
            <w:sz w:val="22"/>
            <w:szCs w:val="22"/>
          </w:rPr>
          <w:t>https://doi.org/10.1080/00405841.2011.607399</w:t>
        </w:r>
      </w:hyperlink>
    </w:p>
    <w:p w14:paraId="7538C13B" w14:textId="2BA52230" w:rsidR="009B7EDA" w:rsidRDefault="009B7EDA" w:rsidP="009B7EDA">
      <w:pPr>
        <w:spacing w:line="480" w:lineRule="auto"/>
        <w:ind w:hanging="720"/>
        <w:rPr>
          <w:rFonts w:cstheme="minorHAnsi"/>
          <w:color w:val="000000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 xml:space="preserve">O’Connor, K. (2018). </w:t>
      </w:r>
      <w:r w:rsidRPr="00A65A11">
        <w:rPr>
          <w:rFonts w:cstheme="minorHAnsi"/>
          <w:i/>
          <w:iCs/>
          <w:color w:val="000000"/>
          <w:sz w:val="22"/>
          <w:szCs w:val="22"/>
        </w:rPr>
        <w:t>How to grade for learning: Linking grades to standards</w:t>
      </w:r>
      <w:r w:rsidRPr="00A65A11">
        <w:rPr>
          <w:rFonts w:cstheme="minorHAnsi"/>
          <w:color w:val="000000"/>
          <w:sz w:val="22"/>
          <w:szCs w:val="22"/>
        </w:rPr>
        <w:t xml:space="preserve"> (4th ed.). 2018. Corwin.</w:t>
      </w:r>
    </w:p>
    <w:p w14:paraId="791D55FD" w14:textId="348B1B13" w:rsidR="001A3D90" w:rsidRPr="00A65A11" w:rsidRDefault="001A3D90" w:rsidP="001A3D90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Olsen, B., &amp; Buchanan, R. (2019). An investigation of teachers encouraged to reform grading practices in secondary schools. </w:t>
      </w:r>
      <w:r w:rsidRPr="00A65A11">
        <w:rPr>
          <w:rFonts w:cstheme="minorHAnsi"/>
          <w:i/>
          <w:iCs/>
          <w:sz w:val="22"/>
          <w:szCs w:val="22"/>
        </w:rPr>
        <w:t>American Educational Research Journal</w:t>
      </w:r>
      <w:r w:rsidRPr="00A65A11">
        <w:rPr>
          <w:rFonts w:cstheme="minorHAnsi"/>
          <w:sz w:val="22"/>
          <w:szCs w:val="22"/>
        </w:rPr>
        <w:t xml:space="preserve">, 56(5), 2004–2039. </w:t>
      </w:r>
      <w:hyperlink r:id="rId24" w:history="1">
        <w:r w:rsidRPr="001A3D90">
          <w:rPr>
            <w:rStyle w:val="Hyperlink"/>
            <w:rFonts w:cstheme="minorHAnsi"/>
            <w:color w:val="auto"/>
            <w:sz w:val="22"/>
            <w:szCs w:val="22"/>
          </w:rPr>
          <w:t>https://doi.org/10.3102/0002831219841349</w:t>
        </w:r>
      </w:hyperlink>
    </w:p>
    <w:p w14:paraId="1BA5B0ED" w14:textId="77777777" w:rsidR="009B7EDA" w:rsidRDefault="009B7EDA" w:rsidP="009B7EDA">
      <w:pPr>
        <w:spacing w:line="480" w:lineRule="auto"/>
        <w:ind w:hanging="720"/>
        <w:rPr>
          <w:rFonts w:ascii="Source Sans Pro" w:hAnsi="Source Sans Pro"/>
          <w:color w:val="3A3A3A"/>
          <w:sz w:val="23"/>
          <w:szCs w:val="23"/>
          <w:shd w:val="clear" w:color="auto" w:fill="FFFFFF"/>
        </w:rPr>
      </w:pPr>
      <w:r>
        <w:rPr>
          <w:rFonts w:cstheme="minorHAnsi"/>
          <w:sz w:val="22"/>
          <w:szCs w:val="22"/>
        </w:rPr>
        <w:t>Popham, W. J. (2009). Assessment literacy for teachers: Faddish or fundamental? Theory into Practice, 48(1), 4-11).</w:t>
      </w:r>
      <w:r w:rsidRPr="00592579">
        <w:rPr>
          <w:rFonts w:cstheme="minorHAnsi"/>
          <w:sz w:val="22"/>
          <w:szCs w:val="22"/>
        </w:rPr>
        <w:t xml:space="preserve"> </w:t>
      </w:r>
      <w:hyperlink r:id="rId25" w:history="1">
        <w:r w:rsidRPr="00937F74">
          <w:rPr>
            <w:rStyle w:val="Hyperlink"/>
            <w:color w:val="auto"/>
            <w:sz w:val="22"/>
            <w:szCs w:val="22"/>
            <w:shd w:val="clear" w:color="auto" w:fill="FFFFFF"/>
          </w:rPr>
          <w:t>https://doi.org/10.1080/00405840802577536</w:t>
        </w:r>
      </w:hyperlink>
    </w:p>
    <w:p w14:paraId="16CBFEA7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>Rust, C. (2002). The impact of assessment on student learning.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Active Learning in Higher Education</w:t>
      </w:r>
      <w:r w:rsidRPr="00A65A11">
        <w:rPr>
          <w:rFonts w:cstheme="minorHAnsi"/>
          <w:color w:val="000000"/>
          <w:sz w:val="22"/>
          <w:szCs w:val="22"/>
        </w:rPr>
        <w:t>,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3</w:t>
      </w:r>
      <w:r w:rsidRPr="00A65A11">
        <w:rPr>
          <w:rFonts w:cstheme="minorHAnsi"/>
          <w:color w:val="000000"/>
          <w:sz w:val="22"/>
          <w:szCs w:val="22"/>
        </w:rPr>
        <w:t>(2), 145-158. </w:t>
      </w:r>
      <w:hyperlink r:id="rId26" w:history="1">
        <w:r w:rsidRPr="00A65A11">
          <w:rPr>
            <w:rStyle w:val="Hyperlink"/>
            <w:rFonts w:cstheme="minorHAnsi"/>
            <w:color w:val="000000"/>
            <w:sz w:val="22"/>
            <w:szCs w:val="22"/>
          </w:rPr>
          <w:t>https://doi.org/10.1177/1469787402003002004</w:t>
        </w:r>
      </w:hyperlink>
    </w:p>
    <w:p w14:paraId="2AF4FBA6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Rust, C., Price, M., &amp; O'Donovan, B. (2003). Improving students' learning by developing their understanding of assessment criteria and processes. </w:t>
      </w:r>
      <w:r w:rsidRPr="00A65A11">
        <w:rPr>
          <w:rFonts w:cstheme="minorHAnsi"/>
          <w:i/>
          <w:iCs/>
          <w:sz w:val="22"/>
          <w:szCs w:val="22"/>
        </w:rPr>
        <w:t>Assessment and Evaluation in Higher Education</w:t>
      </w:r>
      <w:r w:rsidRPr="00A65A11">
        <w:rPr>
          <w:rFonts w:cstheme="minorHAnsi"/>
          <w:sz w:val="22"/>
          <w:szCs w:val="22"/>
        </w:rPr>
        <w:t xml:space="preserve">, 28(2), 147–164. </w:t>
      </w:r>
      <w:hyperlink r:id="rId27" w:history="1">
        <w:r w:rsidRPr="00937F74">
          <w:rPr>
            <w:rStyle w:val="Hyperlink"/>
            <w:rFonts w:cstheme="minorHAnsi"/>
            <w:color w:val="auto"/>
            <w:sz w:val="22"/>
            <w:szCs w:val="22"/>
          </w:rPr>
          <w:t>https://doi.org/10.1080/02602930301671</w:t>
        </w:r>
      </w:hyperlink>
    </w:p>
    <w:p w14:paraId="1366E4E0" w14:textId="77777777" w:rsidR="009B7EDA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Ryan, T., Henderson, M., &amp; Phillips, M. (2020). Digitally recorded assessment feedback in a secondary school context: student engagement, perception, and impact. </w:t>
      </w:r>
      <w:r w:rsidRPr="00A65A11">
        <w:rPr>
          <w:rFonts w:cstheme="minorHAnsi"/>
          <w:i/>
          <w:iCs/>
          <w:sz w:val="22"/>
          <w:szCs w:val="22"/>
        </w:rPr>
        <w:t>Technology, Pedagogy and Education</w:t>
      </w:r>
      <w:r w:rsidRPr="00A65A11">
        <w:rPr>
          <w:rFonts w:cstheme="minorHAnsi"/>
          <w:sz w:val="22"/>
          <w:szCs w:val="22"/>
        </w:rPr>
        <w:t xml:space="preserve">, 29(3), 311–325. </w:t>
      </w:r>
      <w:hyperlink r:id="rId28" w:history="1">
        <w:r w:rsidRPr="00937F74">
          <w:rPr>
            <w:rStyle w:val="Hyperlink"/>
            <w:rFonts w:cstheme="minorHAnsi"/>
            <w:color w:val="auto"/>
            <w:sz w:val="22"/>
            <w:szCs w:val="22"/>
          </w:rPr>
          <w:t>https://doi.org/10.1080/1475939X.2020.1744479</w:t>
        </w:r>
      </w:hyperlink>
      <w:r w:rsidRPr="00A65A11">
        <w:rPr>
          <w:rFonts w:cstheme="minorHAnsi"/>
          <w:sz w:val="22"/>
          <w:szCs w:val="22"/>
        </w:rPr>
        <w:t xml:space="preserve"> </w:t>
      </w:r>
    </w:p>
    <w:p w14:paraId="6D67297B" w14:textId="77777777" w:rsidR="009B7EDA" w:rsidRPr="000E3573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0E3573">
        <w:rPr>
          <w:rFonts w:cstheme="minorHAnsi"/>
          <w:color w:val="000000"/>
          <w:sz w:val="22"/>
          <w:szCs w:val="22"/>
        </w:rPr>
        <w:t>Sabbaghan, Soroush, &amp; Werklund School of Education. (2017). Enhancing Student Assessment Through Veedback. University of Calgary.</w:t>
      </w:r>
    </w:p>
    <w:p w14:paraId="29AF5829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color w:val="000000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>Schinske, J., &amp; Tanner, K. (2014). Teaching more by grading less (or differently).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CBE—Life Sciences Education</w:t>
      </w:r>
      <w:r w:rsidRPr="00A65A11">
        <w:rPr>
          <w:rFonts w:cstheme="minorHAnsi"/>
          <w:color w:val="000000"/>
          <w:sz w:val="22"/>
          <w:szCs w:val="22"/>
        </w:rPr>
        <w:t>,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13</w:t>
      </w:r>
      <w:r w:rsidRPr="00A65A11">
        <w:rPr>
          <w:rFonts w:cstheme="minorHAnsi"/>
          <w:color w:val="000000"/>
          <w:sz w:val="22"/>
          <w:szCs w:val="22"/>
        </w:rPr>
        <w:t>(2), 159-166. </w:t>
      </w:r>
      <w:hyperlink r:id="rId29" w:history="1">
        <w:r w:rsidRPr="00A65A11">
          <w:rPr>
            <w:rStyle w:val="Hyperlink"/>
            <w:rFonts w:cstheme="minorHAnsi"/>
            <w:color w:val="000000"/>
            <w:sz w:val="22"/>
            <w:szCs w:val="22"/>
          </w:rPr>
          <w:t>https://doi.org/10.1187/cbe.cbe-14-03-0054</w:t>
        </w:r>
      </w:hyperlink>
    </w:p>
    <w:p w14:paraId="46D5D5C4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color w:val="000000"/>
          <w:sz w:val="22"/>
          <w:szCs w:val="22"/>
        </w:rPr>
      </w:pPr>
      <w:r w:rsidRPr="00A65A11">
        <w:rPr>
          <w:rFonts w:cstheme="minorHAnsi"/>
          <w:sz w:val="22"/>
          <w:szCs w:val="22"/>
        </w:rPr>
        <w:lastRenderedPageBreak/>
        <w:t>Shappell, M. (2018). Breaking tradition: How one public school district transitioned from traditional to standards-based grading. [Doctoral dissertation, Cardinal Stritch University]. ProQuest Dissertations and Theses Global.</w:t>
      </w:r>
    </w:p>
    <w:p w14:paraId="147694E0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color w:val="000000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>Shepard, L. A. (2019). Classroom assessment to support teaching and learning.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The ANNALS of the American Academy of Political and Social Science</w:t>
      </w:r>
      <w:r w:rsidRPr="00A65A11">
        <w:rPr>
          <w:rFonts w:cstheme="minorHAnsi"/>
          <w:color w:val="000000"/>
          <w:sz w:val="22"/>
          <w:szCs w:val="22"/>
        </w:rPr>
        <w:t>,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683</w:t>
      </w:r>
      <w:r w:rsidRPr="00A65A11">
        <w:rPr>
          <w:rFonts w:cstheme="minorHAnsi"/>
          <w:color w:val="000000"/>
          <w:sz w:val="22"/>
          <w:szCs w:val="22"/>
        </w:rPr>
        <w:t>(1), 183-200. </w:t>
      </w:r>
      <w:hyperlink r:id="rId30" w:history="1">
        <w:r w:rsidRPr="00A65A11">
          <w:rPr>
            <w:rStyle w:val="Hyperlink"/>
            <w:rFonts w:cstheme="minorHAnsi"/>
            <w:color w:val="000000"/>
            <w:sz w:val="22"/>
            <w:szCs w:val="22"/>
          </w:rPr>
          <w:t>https://doi.org/10.1177/0002716219843818</w:t>
        </w:r>
      </w:hyperlink>
    </w:p>
    <w:p w14:paraId="243A1298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Shute, V. J. (2008). Focus on formative feedback. </w:t>
      </w:r>
      <w:r w:rsidRPr="00A65A11">
        <w:rPr>
          <w:rFonts w:cstheme="minorHAnsi"/>
          <w:i/>
          <w:iCs/>
          <w:sz w:val="22"/>
          <w:szCs w:val="22"/>
        </w:rPr>
        <w:t>Review of Educational Research</w:t>
      </w:r>
      <w:r w:rsidRPr="00A65A11">
        <w:rPr>
          <w:rFonts w:cstheme="minorHAnsi"/>
          <w:sz w:val="22"/>
          <w:szCs w:val="22"/>
        </w:rPr>
        <w:t xml:space="preserve">, 78(1), 153–189. </w:t>
      </w:r>
      <w:hyperlink r:id="rId31" w:history="1">
        <w:r w:rsidRPr="001E105A">
          <w:rPr>
            <w:rStyle w:val="Hyperlink"/>
            <w:rFonts w:cstheme="minorHAnsi"/>
            <w:color w:val="auto"/>
            <w:sz w:val="22"/>
            <w:szCs w:val="22"/>
          </w:rPr>
          <w:t>https://doi.org/10.3102/0034654307313795</w:t>
        </w:r>
      </w:hyperlink>
    </w:p>
    <w:p w14:paraId="62E8140E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color w:val="000000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>Tittle, C. K. (1994). Toward an educational psychology of assessment for teaching and learning: Theories, contexts, and validation arguments.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Educational Psychologist</w:t>
      </w:r>
      <w:r w:rsidRPr="00A65A11">
        <w:rPr>
          <w:rFonts w:cstheme="minorHAnsi"/>
          <w:color w:val="000000"/>
          <w:sz w:val="22"/>
          <w:szCs w:val="22"/>
        </w:rPr>
        <w:t>,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29</w:t>
      </w:r>
      <w:r w:rsidRPr="00A65A11">
        <w:rPr>
          <w:rFonts w:cstheme="minorHAnsi"/>
          <w:color w:val="000000"/>
          <w:sz w:val="22"/>
          <w:szCs w:val="22"/>
        </w:rPr>
        <w:t>(3), 149-162. </w:t>
      </w:r>
      <w:hyperlink r:id="rId32" w:history="1">
        <w:r w:rsidRPr="00A65A11">
          <w:rPr>
            <w:rStyle w:val="Hyperlink"/>
            <w:rFonts w:cstheme="minorHAnsi"/>
            <w:color w:val="000000"/>
            <w:sz w:val="22"/>
            <w:szCs w:val="22"/>
          </w:rPr>
          <w:t>https://doi.org/10.1207/s15326985ep2903_4</w:t>
        </w:r>
      </w:hyperlink>
    </w:p>
    <w:p w14:paraId="7C5637D2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Van der Kleij, F. M, Adie, L. E., &amp; Cumming, J. J. (2019). A meta-review of the student role in feedback. </w:t>
      </w:r>
      <w:r w:rsidRPr="00A65A11">
        <w:rPr>
          <w:rFonts w:cstheme="minorHAnsi"/>
          <w:i/>
          <w:iCs/>
          <w:sz w:val="22"/>
          <w:szCs w:val="22"/>
        </w:rPr>
        <w:t>International Journal of Educational Research</w:t>
      </w:r>
      <w:r w:rsidRPr="00A65A11">
        <w:rPr>
          <w:rFonts w:cstheme="minorHAnsi"/>
          <w:sz w:val="22"/>
          <w:szCs w:val="22"/>
        </w:rPr>
        <w:t>, 98, 303–323</w:t>
      </w:r>
      <w:r w:rsidRPr="001E105A">
        <w:rPr>
          <w:rFonts w:cstheme="minorHAnsi"/>
          <w:sz w:val="22"/>
          <w:szCs w:val="22"/>
        </w:rPr>
        <w:t xml:space="preserve">. </w:t>
      </w:r>
      <w:hyperlink r:id="rId33" w:history="1">
        <w:r w:rsidRPr="001E105A">
          <w:rPr>
            <w:rStyle w:val="Hyperlink"/>
            <w:rFonts w:cstheme="minorHAnsi"/>
            <w:color w:val="auto"/>
            <w:sz w:val="22"/>
            <w:szCs w:val="22"/>
          </w:rPr>
          <w:t>https://doi.org/10.1016/j.ijer.2019.09.005</w:t>
        </w:r>
      </w:hyperlink>
    </w:p>
    <w:p w14:paraId="12A87238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Williams, J. A. (2010). 'You know what you've done right and what you've done wrong and what you need to improve on': New Zealand students' perspectives on feedback. </w:t>
      </w:r>
      <w:r w:rsidRPr="00A65A11">
        <w:rPr>
          <w:rFonts w:cstheme="minorHAnsi"/>
          <w:i/>
          <w:iCs/>
          <w:sz w:val="22"/>
          <w:szCs w:val="22"/>
        </w:rPr>
        <w:t>Assessment in Education: Principles, Policy &amp; Practice</w:t>
      </w:r>
      <w:r w:rsidRPr="00A65A11">
        <w:rPr>
          <w:rFonts w:cstheme="minorHAnsi"/>
          <w:sz w:val="22"/>
          <w:szCs w:val="22"/>
        </w:rPr>
        <w:t>, 17(3), 301–314.</w:t>
      </w:r>
      <w:r w:rsidRPr="001E105A">
        <w:rPr>
          <w:rFonts w:cstheme="minorHAnsi"/>
          <w:sz w:val="22"/>
          <w:szCs w:val="22"/>
        </w:rPr>
        <w:t xml:space="preserve"> </w:t>
      </w:r>
      <w:hyperlink r:id="rId34" w:history="1">
        <w:r w:rsidRPr="001E105A">
          <w:rPr>
            <w:rStyle w:val="Hyperlink"/>
            <w:rFonts w:cstheme="minorHAnsi"/>
            <w:color w:val="auto"/>
            <w:sz w:val="22"/>
            <w:szCs w:val="22"/>
          </w:rPr>
          <w:t>https://doi.org/10.1080/0969594X.2010.496249</w:t>
        </w:r>
      </w:hyperlink>
    </w:p>
    <w:p w14:paraId="63329CCB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sz w:val="22"/>
          <w:szCs w:val="22"/>
        </w:rPr>
        <w:t xml:space="preserve">Wingate, U. (2010). The impact of formative feedback on the development of academic writing. </w:t>
      </w:r>
      <w:r w:rsidRPr="00A65A11">
        <w:rPr>
          <w:rFonts w:cstheme="minorHAnsi"/>
          <w:i/>
          <w:iCs/>
          <w:sz w:val="22"/>
          <w:szCs w:val="22"/>
        </w:rPr>
        <w:t>Assessment and Evaluation in Higher Education</w:t>
      </w:r>
      <w:r w:rsidRPr="00A65A11">
        <w:rPr>
          <w:rFonts w:cstheme="minorHAnsi"/>
          <w:sz w:val="22"/>
          <w:szCs w:val="22"/>
        </w:rPr>
        <w:t>, 35(5), 519–533.</w:t>
      </w:r>
      <w:r w:rsidRPr="001E105A">
        <w:rPr>
          <w:rFonts w:cstheme="minorHAnsi"/>
          <w:sz w:val="22"/>
          <w:szCs w:val="22"/>
        </w:rPr>
        <w:t xml:space="preserve"> </w:t>
      </w:r>
      <w:hyperlink r:id="rId35" w:history="1">
        <w:r w:rsidRPr="001E105A">
          <w:rPr>
            <w:rStyle w:val="Hyperlink"/>
            <w:rFonts w:cstheme="minorHAnsi"/>
            <w:color w:val="auto"/>
            <w:sz w:val="22"/>
            <w:szCs w:val="22"/>
          </w:rPr>
          <w:t>https://doi.org/10.1080/02602930903512909</w:t>
        </w:r>
      </w:hyperlink>
    </w:p>
    <w:p w14:paraId="27B5F868" w14:textId="77777777" w:rsidR="009B7EDA" w:rsidRPr="00A65A11" w:rsidRDefault="009B7EDA" w:rsidP="009B7EDA">
      <w:pPr>
        <w:spacing w:line="480" w:lineRule="auto"/>
        <w:ind w:hanging="720"/>
        <w:rPr>
          <w:rFonts w:cstheme="minorHAnsi"/>
          <w:sz w:val="22"/>
          <w:szCs w:val="22"/>
        </w:rPr>
      </w:pPr>
      <w:r w:rsidRPr="00A65A11">
        <w:rPr>
          <w:rFonts w:cstheme="minorHAnsi"/>
          <w:color w:val="000000"/>
          <w:sz w:val="22"/>
          <w:szCs w:val="22"/>
        </w:rPr>
        <w:t>Yates, A., &amp; Johnston, M. (2017). The impact of school-based assessment for qualifications on teachers’ conceptions of assessment.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Assessment in Education: Principles, Policy &amp; Practice</w:t>
      </w:r>
      <w:r w:rsidRPr="00A65A11">
        <w:rPr>
          <w:rFonts w:cstheme="minorHAnsi"/>
          <w:color w:val="000000"/>
          <w:sz w:val="22"/>
          <w:szCs w:val="22"/>
        </w:rPr>
        <w:t>, </w:t>
      </w:r>
      <w:r w:rsidRPr="00A65A11">
        <w:rPr>
          <w:rStyle w:val="Emphasis"/>
          <w:rFonts w:cstheme="minorHAnsi"/>
          <w:color w:val="000000"/>
          <w:sz w:val="22"/>
          <w:szCs w:val="22"/>
        </w:rPr>
        <w:t>25</w:t>
      </w:r>
      <w:r w:rsidRPr="00A65A11">
        <w:rPr>
          <w:rFonts w:cstheme="minorHAnsi"/>
          <w:color w:val="000000"/>
          <w:sz w:val="22"/>
          <w:szCs w:val="22"/>
        </w:rPr>
        <w:t>(6), 638-654. </w:t>
      </w:r>
      <w:hyperlink r:id="rId36" w:history="1">
        <w:r w:rsidRPr="00A65A11">
          <w:rPr>
            <w:rStyle w:val="Hyperlink"/>
            <w:rFonts w:cstheme="minorHAnsi"/>
            <w:color w:val="000000"/>
            <w:sz w:val="22"/>
            <w:szCs w:val="22"/>
          </w:rPr>
          <w:t>https://doi.org/10.1080/0969594x.2017.1295020</w:t>
        </w:r>
      </w:hyperlink>
    </w:p>
    <w:p w14:paraId="1ECB5CD7" w14:textId="04077C1A" w:rsidR="004255A9" w:rsidRDefault="004255A9"/>
    <w:p w14:paraId="2E3091F7" w14:textId="185C8421" w:rsidR="001E105A" w:rsidRDefault="001E105A"/>
    <w:p w14:paraId="30459FD6" w14:textId="7A1190E8" w:rsidR="001E105A" w:rsidRDefault="001E105A"/>
    <w:p w14:paraId="0EF10F04" w14:textId="50D9D44F" w:rsidR="001E105A" w:rsidRDefault="001E105A"/>
    <w:p w14:paraId="4FB2BBF5" w14:textId="16E17701" w:rsidR="001E105A" w:rsidRDefault="001E105A"/>
    <w:p w14:paraId="629F2266" w14:textId="0DF7965F" w:rsidR="001E105A" w:rsidRDefault="001E105A"/>
    <w:p w14:paraId="6E5082E4" w14:textId="21BA5081" w:rsidR="001E105A" w:rsidRDefault="001E105A"/>
    <w:p w14:paraId="03AF1918" w14:textId="77777777" w:rsidR="001E105A" w:rsidRDefault="001E105A"/>
    <w:sectPr w:rsidR="001E10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DA"/>
    <w:rsid w:val="0000273E"/>
    <w:rsid w:val="00003C29"/>
    <w:rsid w:val="0004085D"/>
    <w:rsid w:val="00050275"/>
    <w:rsid w:val="00072B2F"/>
    <w:rsid w:val="000D2DAE"/>
    <w:rsid w:val="00121967"/>
    <w:rsid w:val="00124C2F"/>
    <w:rsid w:val="001A3D90"/>
    <w:rsid w:val="001B265C"/>
    <w:rsid w:val="001E105A"/>
    <w:rsid w:val="00303019"/>
    <w:rsid w:val="003A3D92"/>
    <w:rsid w:val="003C4ADB"/>
    <w:rsid w:val="00407376"/>
    <w:rsid w:val="004255A9"/>
    <w:rsid w:val="0043078F"/>
    <w:rsid w:val="00442A81"/>
    <w:rsid w:val="005F39D0"/>
    <w:rsid w:val="00787251"/>
    <w:rsid w:val="007F5D76"/>
    <w:rsid w:val="00832232"/>
    <w:rsid w:val="00936641"/>
    <w:rsid w:val="00937F74"/>
    <w:rsid w:val="009B7EDA"/>
    <w:rsid w:val="009D4071"/>
    <w:rsid w:val="009F7401"/>
    <w:rsid w:val="00B0446F"/>
    <w:rsid w:val="00BB1707"/>
    <w:rsid w:val="00CE5CF4"/>
    <w:rsid w:val="00FB61CE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0227"/>
  <w15:docId w15:val="{B0B2ECB3-D42B-4AA8-9C2B-BF5B3639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D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9B7EDA"/>
    <w:pPr>
      <w:spacing w:after="160" w:line="259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7ED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B7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07/s15324818ame0704_2" TargetMode="External"/><Relationship Id="rId13" Type="http://schemas.openxmlformats.org/officeDocument/2006/relationships/hyperlink" Target="https://doi.org/10.1080/02602938.2018.1531108" TargetMode="External"/><Relationship Id="rId18" Type="http://schemas.openxmlformats.org/officeDocument/2006/relationships/hyperlink" Target="https://doi.org/10.3102/003465430298487" TargetMode="External"/><Relationship Id="rId26" Type="http://schemas.openxmlformats.org/officeDocument/2006/relationships/hyperlink" Target="https://doi.org/10.1177/14697874020030020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07/s11092-009-9082-2" TargetMode="External"/><Relationship Id="rId34" Type="http://schemas.openxmlformats.org/officeDocument/2006/relationships/hyperlink" Target="https://doi.org/10.1080/0969594X.2010.496249" TargetMode="External"/><Relationship Id="rId7" Type="http://schemas.openxmlformats.org/officeDocument/2006/relationships/hyperlink" Target="https://doi.org/10.1111/j.1745-3984.1993.tb01070.x" TargetMode="External"/><Relationship Id="rId12" Type="http://schemas.openxmlformats.org/officeDocument/2006/relationships/hyperlink" Target="https://doi.org/10.1037//0022-0663.78.3.210" TargetMode="External"/><Relationship Id="rId17" Type="http://schemas.openxmlformats.org/officeDocument/2006/relationships/hyperlink" Target="https://doi.org/10.1007/s10459-014-9524-6" TargetMode="External"/><Relationship Id="rId25" Type="http://schemas.openxmlformats.org/officeDocument/2006/relationships/hyperlink" Target="https://doi.org/10.1080/00405840802577536" TargetMode="External"/><Relationship Id="rId33" Type="http://schemas.openxmlformats.org/officeDocument/2006/relationships/hyperlink" Target="https://doi.org/10.1016/j.ijer.2019.09.00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i.org/10.1007/s11092-013-9187-5" TargetMode="External"/><Relationship Id="rId20" Type="http://schemas.openxmlformats.org/officeDocument/2006/relationships/hyperlink" Target="https://doi.org/10.1080/0969594X.2019.1593103" TargetMode="External"/><Relationship Id="rId29" Type="http://schemas.openxmlformats.org/officeDocument/2006/relationships/hyperlink" Target="https://doi.org/10.1187/cbe.cbe-14-03-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80/0141192032000133721" TargetMode="External"/><Relationship Id="rId11" Type="http://schemas.openxmlformats.org/officeDocument/2006/relationships/hyperlink" Target="https://doi.org/10.1111/j.2044-8279.1988.tb00874.x" TargetMode="External"/><Relationship Id="rId24" Type="http://schemas.openxmlformats.org/officeDocument/2006/relationships/hyperlink" Target="https://doi.org/10.3102/0002831219841349" TargetMode="External"/><Relationship Id="rId32" Type="http://schemas.openxmlformats.org/officeDocument/2006/relationships/hyperlink" Target="https://doi.org/10.1207/s15326985ep2903_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oi.org/10.1080/0969595980050102" TargetMode="External"/><Relationship Id="rId15" Type="http://schemas.openxmlformats.org/officeDocument/2006/relationships/hyperlink" Target="https://doi.org/10.1080/0969594X.2012.749212" TargetMode="External"/><Relationship Id="rId23" Type="http://schemas.openxmlformats.org/officeDocument/2006/relationships/hyperlink" Target="https://doi.org/10.1080/00405841.2011.607399" TargetMode="External"/><Relationship Id="rId28" Type="http://schemas.openxmlformats.org/officeDocument/2006/relationships/hyperlink" Target="https://doi.org/10.1080/1475939X.2020.1744479" TargetMode="External"/><Relationship Id="rId36" Type="http://schemas.openxmlformats.org/officeDocument/2006/relationships/hyperlink" Target="https://doi.org/10.1080/0969594x.2017.1295020" TargetMode="External"/><Relationship Id="rId10" Type="http://schemas.openxmlformats.org/officeDocument/2006/relationships/hyperlink" Target="https://doi.org/10.1111/bjep.12126" TargetMode="External"/><Relationship Id="rId19" Type="http://schemas.openxmlformats.org/officeDocument/2006/relationships/hyperlink" Target="https://doi.org/10.1007/s10212-017-0331-3" TargetMode="External"/><Relationship Id="rId31" Type="http://schemas.openxmlformats.org/officeDocument/2006/relationships/hyperlink" Target="https://doi.org/10.3102/0034654307313795" TargetMode="External"/><Relationship Id="rId4" Type="http://schemas.openxmlformats.org/officeDocument/2006/relationships/hyperlink" Target="https://doi.org/10.1080/03075071003731135" TargetMode="External"/><Relationship Id="rId9" Type="http://schemas.openxmlformats.org/officeDocument/2006/relationships/hyperlink" Target="https://doi.org/10.3102/0034654316672069" TargetMode="External"/><Relationship Id="rId14" Type="http://schemas.openxmlformats.org/officeDocument/2006/relationships/hyperlink" Target="https://doi.org/10.1111/jcal.12398" TargetMode="External"/><Relationship Id="rId22" Type="http://schemas.openxmlformats.org/officeDocument/2006/relationships/hyperlink" Target="https://doi.org/10.1111/j.1745-3992.2001.tb00055.x" TargetMode="External"/><Relationship Id="rId27" Type="http://schemas.openxmlformats.org/officeDocument/2006/relationships/hyperlink" Target="https://doi.org/10.1080/02602930301671" TargetMode="External"/><Relationship Id="rId30" Type="http://schemas.openxmlformats.org/officeDocument/2006/relationships/hyperlink" Target="https://doi.org/10.1177/0002716219843818" TargetMode="External"/><Relationship Id="rId35" Type="http://schemas.openxmlformats.org/officeDocument/2006/relationships/hyperlink" Target="https://doi.org/10.1080/02602930903512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Cloke</dc:creator>
  <cp:keywords/>
  <dc:description/>
  <cp:lastModifiedBy>Ronan Cloke</cp:lastModifiedBy>
  <cp:revision>3</cp:revision>
  <cp:lastPrinted>2021-05-23T17:02:00Z</cp:lastPrinted>
  <dcterms:created xsi:type="dcterms:W3CDTF">2021-05-29T23:03:00Z</dcterms:created>
  <dcterms:modified xsi:type="dcterms:W3CDTF">2021-05-30T00:53:00Z</dcterms:modified>
</cp:coreProperties>
</file>